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5D8DB" w14:textId="77777777" w:rsidR="00CE12E8" w:rsidRDefault="00C15801">
      <w:pPr>
        <w:jc w:val="both"/>
        <w:rPr>
          <w:b/>
          <w:sz w:val="32"/>
          <w:szCs w:val="32"/>
        </w:rPr>
      </w:pPr>
      <w:r>
        <w:rPr>
          <w:b/>
          <w:noProof/>
          <w:sz w:val="32"/>
          <w:szCs w:val="32"/>
        </w:rPr>
        <w:drawing>
          <wp:anchor distT="114300" distB="114300" distL="114300" distR="114300" simplePos="0" relativeHeight="251658240" behindDoc="0" locked="0" layoutInCell="1" hidden="0" allowOverlap="1" wp14:anchorId="5D513BA4" wp14:editId="1069F96B">
            <wp:simplePos x="0" y="0"/>
            <wp:positionH relativeFrom="page">
              <wp:posOffset>-10949</wp:posOffset>
            </wp:positionH>
            <wp:positionV relativeFrom="page">
              <wp:posOffset>-21337</wp:posOffset>
            </wp:positionV>
            <wp:extent cx="7581900" cy="10733548"/>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81900" cy="10733548"/>
                    </a:xfrm>
                    <a:prstGeom prst="rect">
                      <a:avLst/>
                    </a:prstGeom>
                    <a:ln/>
                  </pic:spPr>
                </pic:pic>
              </a:graphicData>
            </a:graphic>
          </wp:anchor>
        </w:drawing>
      </w:r>
    </w:p>
    <w:p w14:paraId="776CF324" w14:textId="77777777" w:rsidR="00CE12E8" w:rsidRDefault="00CE12E8">
      <w:pPr>
        <w:jc w:val="both"/>
        <w:rPr>
          <w:b/>
          <w:sz w:val="32"/>
          <w:szCs w:val="32"/>
        </w:rPr>
      </w:pPr>
    </w:p>
    <w:p w14:paraId="29B8A504" w14:textId="77777777" w:rsidR="00CE12E8" w:rsidRDefault="00CE12E8">
      <w:pPr>
        <w:jc w:val="both"/>
        <w:rPr>
          <w:b/>
          <w:sz w:val="32"/>
          <w:szCs w:val="32"/>
        </w:rPr>
      </w:pPr>
    </w:p>
    <w:p w14:paraId="2B9F4486" w14:textId="77777777" w:rsidR="00CE12E8" w:rsidRDefault="00CE12E8">
      <w:pPr>
        <w:jc w:val="both"/>
        <w:rPr>
          <w:b/>
          <w:sz w:val="32"/>
          <w:szCs w:val="32"/>
        </w:rPr>
      </w:pPr>
    </w:p>
    <w:p w14:paraId="181499C1" w14:textId="77777777" w:rsidR="00CE12E8" w:rsidRDefault="00CE12E8">
      <w:pPr>
        <w:jc w:val="both"/>
        <w:rPr>
          <w:b/>
          <w:sz w:val="32"/>
          <w:szCs w:val="32"/>
        </w:rPr>
      </w:pPr>
    </w:p>
    <w:p w14:paraId="695B491E" w14:textId="77777777" w:rsidR="00CE12E8" w:rsidRDefault="00CE12E8">
      <w:pPr>
        <w:jc w:val="both"/>
        <w:rPr>
          <w:b/>
          <w:strike/>
          <w:sz w:val="32"/>
          <w:szCs w:val="32"/>
        </w:rPr>
      </w:pPr>
    </w:p>
    <w:p w14:paraId="6E10F317" w14:textId="77777777" w:rsidR="00CE12E8" w:rsidRDefault="00CE12E8">
      <w:pPr>
        <w:jc w:val="both"/>
        <w:rPr>
          <w:b/>
          <w:sz w:val="32"/>
          <w:szCs w:val="32"/>
        </w:rPr>
      </w:pPr>
    </w:p>
    <w:p w14:paraId="1B4AA87A" w14:textId="77777777" w:rsidR="00CE12E8" w:rsidRDefault="00CE12E8">
      <w:pPr>
        <w:jc w:val="both"/>
        <w:rPr>
          <w:b/>
          <w:sz w:val="32"/>
          <w:szCs w:val="32"/>
        </w:rPr>
      </w:pPr>
    </w:p>
    <w:p w14:paraId="1A2E122F" w14:textId="77777777" w:rsidR="00CE12E8" w:rsidRDefault="00CE12E8">
      <w:pPr>
        <w:jc w:val="both"/>
        <w:rPr>
          <w:b/>
          <w:sz w:val="32"/>
          <w:szCs w:val="32"/>
        </w:rPr>
      </w:pPr>
    </w:p>
    <w:p w14:paraId="747C61F3" w14:textId="77777777" w:rsidR="00CE12E8" w:rsidRDefault="00CE12E8">
      <w:pPr>
        <w:jc w:val="both"/>
        <w:rPr>
          <w:b/>
          <w:sz w:val="32"/>
          <w:szCs w:val="32"/>
        </w:rPr>
      </w:pPr>
    </w:p>
    <w:p w14:paraId="62C68F0D" w14:textId="77777777" w:rsidR="00CE12E8" w:rsidRDefault="00CE12E8">
      <w:pPr>
        <w:jc w:val="both"/>
        <w:rPr>
          <w:b/>
          <w:sz w:val="32"/>
          <w:szCs w:val="32"/>
        </w:rPr>
      </w:pPr>
    </w:p>
    <w:p w14:paraId="766AD596" w14:textId="77777777" w:rsidR="00CE12E8" w:rsidRDefault="00CE12E8">
      <w:pPr>
        <w:jc w:val="both"/>
        <w:rPr>
          <w:b/>
          <w:sz w:val="32"/>
          <w:szCs w:val="32"/>
        </w:rPr>
      </w:pPr>
    </w:p>
    <w:p w14:paraId="7B90E2F6" w14:textId="77777777" w:rsidR="00CE12E8" w:rsidRDefault="00CE12E8">
      <w:pPr>
        <w:jc w:val="both"/>
        <w:rPr>
          <w:b/>
          <w:sz w:val="32"/>
          <w:szCs w:val="32"/>
        </w:rPr>
      </w:pPr>
    </w:p>
    <w:p w14:paraId="005FE0CC" w14:textId="77777777" w:rsidR="00CE12E8" w:rsidRDefault="00CE12E8">
      <w:pPr>
        <w:jc w:val="both"/>
        <w:rPr>
          <w:b/>
          <w:sz w:val="32"/>
          <w:szCs w:val="32"/>
        </w:rPr>
      </w:pPr>
    </w:p>
    <w:p w14:paraId="793F9519" w14:textId="77777777" w:rsidR="00CE12E8" w:rsidRDefault="00CE12E8">
      <w:pPr>
        <w:jc w:val="both"/>
        <w:rPr>
          <w:b/>
          <w:sz w:val="32"/>
          <w:szCs w:val="32"/>
        </w:rPr>
      </w:pPr>
    </w:p>
    <w:p w14:paraId="1747D99F" w14:textId="77777777" w:rsidR="00CE12E8" w:rsidRDefault="00CE12E8">
      <w:pPr>
        <w:jc w:val="both"/>
        <w:rPr>
          <w:b/>
          <w:sz w:val="32"/>
          <w:szCs w:val="32"/>
        </w:rPr>
      </w:pPr>
    </w:p>
    <w:p w14:paraId="3A745C17" w14:textId="77777777" w:rsidR="00CE12E8" w:rsidRDefault="00CE12E8">
      <w:pPr>
        <w:jc w:val="both"/>
        <w:rPr>
          <w:b/>
          <w:sz w:val="32"/>
          <w:szCs w:val="32"/>
        </w:rPr>
      </w:pPr>
    </w:p>
    <w:p w14:paraId="1CFDA218" w14:textId="77777777" w:rsidR="00CE12E8" w:rsidRDefault="00CE12E8">
      <w:pPr>
        <w:jc w:val="both"/>
        <w:rPr>
          <w:b/>
          <w:sz w:val="32"/>
          <w:szCs w:val="32"/>
        </w:rPr>
      </w:pPr>
    </w:p>
    <w:p w14:paraId="49402DFD" w14:textId="77777777" w:rsidR="00CE12E8" w:rsidRDefault="00CE12E8">
      <w:pPr>
        <w:jc w:val="both"/>
        <w:rPr>
          <w:b/>
          <w:sz w:val="32"/>
          <w:szCs w:val="32"/>
        </w:rPr>
      </w:pPr>
    </w:p>
    <w:p w14:paraId="3E311063" w14:textId="77777777" w:rsidR="00CE12E8" w:rsidRDefault="00CE12E8">
      <w:pPr>
        <w:jc w:val="both"/>
        <w:rPr>
          <w:b/>
          <w:sz w:val="32"/>
          <w:szCs w:val="32"/>
        </w:rPr>
      </w:pPr>
    </w:p>
    <w:p w14:paraId="7B4E78C2" w14:textId="77777777" w:rsidR="00CE12E8" w:rsidRDefault="00CE12E8">
      <w:pPr>
        <w:jc w:val="both"/>
        <w:rPr>
          <w:b/>
          <w:sz w:val="32"/>
          <w:szCs w:val="32"/>
        </w:rPr>
      </w:pPr>
    </w:p>
    <w:p w14:paraId="0C7B9FAB" w14:textId="77777777" w:rsidR="00CE12E8" w:rsidRDefault="00CE12E8">
      <w:pPr>
        <w:jc w:val="both"/>
        <w:rPr>
          <w:b/>
          <w:sz w:val="32"/>
          <w:szCs w:val="32"/>
        </w:rPr>
      </w:pPr>
    </w:p>
    <w:p w14:paraId="7DA919E4" w14:textId="77777777" w:rsidR="00CE12E8" w:rsidRDefault="00CE12E8">
      <w:pPr>
        <w:jc w:val="both"/>
        <w:rPr>
          <w:b/>
          <w:sz w:val="32"/>
          <w:szCs w:val="32"/>
        </w:rPr>
      </w:pPr>
    </w:p>
    <w:p w14:paraId="5B533790" w14:textId="77777777" w:rsidR="00CE12E8" w:rsidRDefault="00CE12E8">
      <w:pPr>
        <w:jc w:val="both"/>
        <w:rPr>
          <w:b/>
          <w:sz w:val="32"/>
          <w:szCs w:val="32"/>
        </w:rPr>
      </w:pPr>
    </w:p>
    <w:p w14:paraId="22877358" w14:textId="77777777" w:rsidR="00CE12E8" w:rsidRDefault="00CE12E8">
      <w:pPr>
        <w:jc w:val="both"/>
        <w:rPr>
          <w:b/>
          <w:sz w:val="32"/>
          <w:szCs w:val="32"/>
        </w:rPr>
      </w:pPr>
    </w:p>
    <w:p w14:paraId="4160BD40" w14:textId="77777777" w:rsidR="00CE12E8" w:rsidRDefault="00CE12E8">
      <w:pPr>
        <w:jc w:val="both"/>
        <w:rPr>
          <w:b/>
          <w:sz w:val="32"/>
          <w:szCs w:val="32"/>
        </w:rPr>
      </w:pPr>
    </w:p>
    <w:p w14:paraId="374928A0" w14:textId="77777777" w:rsidR="00CE12E8" w:rsidRDefault="00CE12E8">
      <w:pPr>
        <w:jc w:val="both"/>
        <w:rPr>
          <w:b/>
          <w:sz w:val="32"/>
          <w:szCs w:val="32"/>
        </w:rPr>
      </w:pPr>
    </w:p>
    <w:p w14:paraId="0CA85CF1" w14:textId="77777777" w:rsidR="00CE12E8" w:rsidRDefault="00CE12E8">
      <w:pPr>
        <w:jc w:val="both"/>
        <w:rPr>
          <w:b/>
          <w:sz w:val="32"/>
          <w:szCs w:val="32"/>
        </w:rPr>
      </w:pPr>
    </w:p>
    <w:p w14:paraId="320242B9" w14:textId="77777777" w:rsidR="00CE12E8" w:rsidRDefault="00CE12E8">
      <w:pPr>
        <w:jc w:val="both"/>
        <w:rPr>
          <w:b/>
          <w:sz w:val="32"/>
          <w:szCs w:val="32"/>
        </w:rPr>
      </w:pPr>
    </w:p>
    <w:p w14:paraId="1BC67D63" w14:textId="77777777" w:rsidR="00CE12E8" w:rsidRDefault="00CE12E8">
      <w:pPr>
        <w:jc w:val="both"/>
        <w:rPr>
          <w:b/>
          <w:sz w:val="32"/>
          <w:szCs w:val="32"/>
        </w:rPr>
      </w:pPr>
    </w:p>
    <w:p w14:paraId="28C51210" w14:textId="77777777" w:rsidR="00CE12E8" w:rsidRDefault="00CE12E8">
      <w:pPr>
        <w:jc w:val="both"/>
        <w:rPr>
          <w:b/>
          <w:sz w:val="32"/>
          <w:szCs w:val="32"/>
        </w:rPr>
      </w:pPr>
    </w:p>
    <w:p w14:paraId="2B52B426" w14:textId="77777777" w:rsidR="00CE12E8" w:rsidRDefault="00CE12E8">
      <w:pPr>
        <w:jc w:val="both"/>
        <w:rPr>
          <w:b/>
          <w:sz w:val="32"/>
          <w:szCs w:val="32"/>
        </w:rPr>
      </w:pPr>
    </w:p>
    <w:p w14:paraId="1ED5E275" w14:textId="77777777" w:rsidR="00CE12E8" w:rsidRDefault="00CE12E8">
      <w:pPr>
        <w:jc w:val="both"/>
        <w:rPr>
          <w:b/>
          <w:sz w:val="32"/>
          <w:szCs w:val="32"/>
        </w:rPr>
      </w:pPr>
    </w:p>
    <w:p w14:paraId="0E5D7561" w14:textId="77777777" w:rsidR="00CE12E8" w:rsidRDefault="00CE12E8">
      <w:pPr>
        <w:jc w:val="both"/>
        <w:rPr>
          <w:b/>
          <w:sz w:val="32"/>
          <w:szCs w:val="32"/>
        </w:rPr>
      </w:pPr>
    </w:p>
    <w:p w14:paraId="326CB9AB" w14:textId="77777777" w:rsidR="00CE12E8" w:rsidRDefault="00CE12E8">
      <w:pPr>
        <w:jc w:val="both"/>
        <w:rPr>
          <w:b/>
          <w:sz w:val="32"/>
          <w:szCs w:val="32"/>
        </w:rPr>
      </w:pPr>
    </w:p>
    <w:p w14:paraId="101BAE24" w14:textId="77777777" w:rsidR="00CE12E8" w:rsidRDefault="00CE12E8">
      <w:pPr>
        <w:jc w:val="both"/>
        <w:rPr>
          <w:b/>
          <w:sz w:val="32"/>
          <w:szCs w:val="32"/>
        </w:rPr>
      </w:pPr>
    </w:p>
    <w:p w14:paraId="10F44677" w14:textId="77777777" w:rsidR="00CE12E8" w:rsidRDefault="00003C93">
      <w:pPr>
        <w:jc w:val="both"/>
      </w:pPr>
      <w:hyperlink r:id="rId10">
        <w:r w:rsidR="00C15801">
          <w:rPr>
            <w:color w:val="0563C1"/>
            <w:u w:val="single"/>
          </w:rPr>
          <w:t>GWOPA/UN-Habitat</w:t>
        </w:r>
      </w:hyperlink>
      <w:r w:rsidR="00C15801">
        <w:t xml:space="preserve"> is calling for submission of Good Practices on the following </w:t>
      </w:r>
      <w:r w:rsidR="00C15801">
        <w:rPr>
          <w:b/>
        </w:rPr>
        <w:t>categories</w:t>
      </w:r>
      <w:r w:rsidR="00C15801">
        <w:t xml:space="preserve">: </w:t>
      </w:r>
    </w:p>
    <w:p w14:paraId="063FFD3B" w14:textId="77777777" w:rsidR="00CE12E8" w:rsidRDefault="00CE12E8">
      <w:pPr>
        <w:jc w:val="both"/>
      </w:pPr>
    </w:p>
    <w:p w14:paraId="5FE2642C" w14:textId="77777777" w:rsidR="00CE12E8" w:rsidRDefault="00C15801">
      <w:pPr>
        <w:numPr>
          <w:ilvl w:val="0"/>
          <w:numId w:val="2"/>
        </w:numPr>
        <w:pBdr>
          <w:top w:val="nil"/>
          <w:left w:val="nil"/>
          <w:bottom w:val="nil"/>
          <w:right w:val="nil"/>
          <w:between w:val="nil"/>
        </w:pBdr>
        <w:jc w:val="both"/>
        <w:rPr>
          <w:b/>
          <w:color w:val="000000"/>
        </w:rPr>
      </w:pPr>
      <w:r>
        <w:rPr>
          <w:b/>
          <w:color w:val="000000"/>
        </w:rPr>
        <w:t>Gender Inclusion in Water and Sanitation Utilities and WOPs</w:t>
      </w:r>
    </w:p>
    <w:p w14:paraId="0B29DE7A" w14:textId="77777777" w:rsidR="00CE12E8" w:rsidRDefault="00CE12E8">
      <w:pPr>
        <w:jc w:val="both"/>
      </w:pPr>
    </w:p>
    <w:p w14:paraId="6048B6C6" w14:textId="77777777" w:rsidR="00CE12E8" w:rsidRDefault="00C15801">
      <w:pPr>
        <w:jc w:val="both"/>
      </w:pPr>
      <w:r>
        <w:t xml:space="preserve">Women are under-represented among water and sanitation service professionals. At the same time, water and sanitation utilities often fail to take gender sufficiently into account in the planning, financing, delivery and evaluation of services, with negative consequences for women and girls in particular. Practices in this area may include gender-sensitive approaches in service provision, promoting gender inclusion in the workforce, or ways in which Water Operators Partnerships have helped develop capacity for gender inclusion. </w:t>
      </w:r>
    </w:p>
    <w:p w14:paraId="6098BC91" w14:textId="77777777" w:rsidR="00CE12E8" w:rsidRDefault="00CE12E8">
      <w:pPr>
        <w:jc w:val="both"/>
      </w:pPr>
    </w:p>
    <w:p w14:paraId="5E87036E" w14:textId="77777777" w:rsidR="00CE12E8" w:rsidRDefault="00C15801">
      <w:pPr>
        <w:numPr>
          <w:ilvl w:val="0"/>
          <w:numId w:val="2"/>
        </w:numPr>
        <w:pBdr>
          <w:top w:val="nil"/>
          <w:left w:val="nil"/>
          <w:bottom w:val="nil"/>
          <w:right w:val="nil"/>
          <w:between w:val="nil"/>
        </w:pBdr>
        <w:jc w:val="both"/>
        <w:rPr>
          <w:b/>
          <w:color w:val="000000"/>
        </w:rPr>
      </w:pPr>
      <w:r>
        <w:rPr>
          <w:b/>
          <w:color w:val="000000"/>
        </w:rPr>
        <w:t>Transparency and Integrity in Water and Sanitation Utilities and WOPs</w:t>
      </w:r>
    </w:p>
    <w:p w14:paraId="7C9B7D5B" w14:textId="77777777" w:rsidR="00CE12E8" w:rsidRDefault="00CE12E8">
      <w:pPr>
        <w:spacing w:line="257" w:lineRule="auto"/>
        <w:jc w:val="both"/>
        <w:rPr>
          <w:sz w:val="22"/>
          <w:szCs w:val="22"/>
        </w:rPr>
      </w:pPr>
    </w:p>
    <w:p w14:paraId="74250990" w14:textId="77777777" w:rsidR="00CE12E8" w:rsidRDefault="00C15801">
      <w:pPr>
        <w:spacing w:line="257" w:lineRule="auto"/>
        <w:jc w:val="both"/>
      </w:pPr>
      <w:r>
        <w:t>Within water and sanitation utilities, good governance is key for a fair and sustainable management of water and sanitation. Poor accountability, transparency, and the lack of integrity often causes underperformance and generates unnecessary losses. It also prevents investments to go where they should, obstructing the achievement of fair and equal water access for all.</w:t>
      </w:r>
    </w:p>
    <w:p w14:paraId="4BECBCBE" w14:textId="77777777" w:rsidR="00CE12E8" w:rsidRDefault="00CE12E8">
      <w:pPr>
        <w:spacing w:line="257" w:lineRule="auto"/>
        <w:jc w:val="both"/>
        <w:rPr>
          <w:sz w:val="22"/>
          <w:szCs w:val="22"/>
        </w:rPr>
      </w:pPr>
    </w:p>
    <w:p w14:paraId="5411A05C" w14:textId="77777777" w:rsidR="00CE12E8" w:rsidRDefault="00C15801">
      <w:pPr>
        <w:spacing w:line="257" w:lineRule="auto"/>
        <w:jc w:val="both"/>
      </w:pPr>
      <w:r>
        <w:t xml:space="preserve">Transparent information sharing and integrity allows a healthy exchange of knowledge within and between water and sanitation operators and upholds accountability towards their customers and other stakeholders. It also enables water practitioners to have a stronger engagement in the Utilities’ and </w:t>
      </w:r>
      <w:proofErr w:type="spellStart"/>
      <w:r>
        <w:t>WOPs’</w:t>
      </w:r>
      <w:proofErr w:type="spellEnd"/>
      <w:r>
        <w:t xml:space="preserve"> goals and for them to easily capture capacity improvements. </w:t>
      </w:r>
    </w:p>
    <w:p w14:paraId="4341D35F" w14:textId="77777777" w:rsidR="00CE12E8" w:rsidRDefault="00CE12E8">
      <w:pPr>
        <w:spacing w:line="257" w:lineRule="auto"/>
        <w:jc w:val="both"/>
        <w:rPr>
          <w:sz w:val="22"/>
          <w:szCs w:val="22"/>
          <w:u w:val="single"/>
        </w:rPr>
      </w:pPr>
    </w:p>
    <w:p w14:paraId="4F56B735" w14:textId="77777777" w:rsidR="00CE12E8" w:rsidRDefault="00C15801">
      <w:pPr>
        <w:jc w:val="both"/>
      </w:pPr>
      <w:r>
        <w:t>Integrity, specifically in WOPs, is the sharing of knowledge in a not-for-profit and unrestrained way, built upon the notion of solidarity between utilities. Its purpose is to enhance the capacity and capability of public utilities, guide by integrity as a core value.</w:t>
      </w:r>
    </w:p>
    <w:p w14:paraId="4CBF41F9" w14:textId="77777777" w:rsidR="00CE12E8" w:rsidRDefault="00CE12E8">
      <w:pPr>
        <w:jc w:val="both"/>
      </w:pPr>
    </w:p>
    <w:p w14:paraId="6052BF80" w14:textId="77777777" w:rsidR="00CE12E8" w:rsidRDefault="00C15801">
      <w:pPr>
        <w:spacing w:line="257" w:lineRule="auto"/>
        <w:jc w:val="both"/>
        <w:rPr>
          <w:color w:val="000000"/>
        </w:rPr>
      </w:pPr>
      <w:r>
        <w:t>Practices in this area, for water utilities and WOPs, may include transparency mechanisms, accountability and integrity tools and processes, ways of improving participatory governance, and plans to fight against corruption.</w:t>
      </w:r>
    </w:p>
    <w:p w14:paraId="61898DBB" w14:textId="77777777" w:rsidR="00CE12E8" w:rsidRDefault="00CE12E8">
      <w:pPr>
        <w:spacing w:line="257" w:lineRule="auto"/>
        <w:jc w:val="both"/>
        <w:rPr>
          <w:sz w:val="22"/>
          <w:szCs w:val="22"/>
          <w:u w:val="single"/>
        </w:rPr>
      </w:pPr>
    </w:p>
    <w:p w14:paraId="750F1EEA" w14:textId="77777777" w:rsidR="00CE12E8" w:rsidRDefault="00C15801">
      <w:pPr>
        <w:jc w:val="both"/>
        <w:rPr>
          <w:b/>
        </w:rPr>
      </w:pPr>
      <w:r>
        <w:rPr>
          <w:b/>
        </w:rPr>
        <w:t>Objectives</w:t>
      </w:r>
    </w:p>
    <w:p w14:paraId="6021EAFF" w14:textId="77777777" w:rsidR="00CE12E8" w:rsidRDefault="00C15801">
      <w:pPr>
        <w:jc w:val="both"/>
      </w:pPr>
      <w:r>
        <w:t>The main objective of the Call is to raise awareness on the importance of Gender Inclusion and Transparency in water and sanitation service provision and Water Operators’ Partnerships. The call aims to identify, celebrate and encourage sharing of these good practices between water and sanitation utilities.</w:t>
      </w:r>
    </w:p>
    <w:p w14:paraId="1041195F" w14:textId="77777777" w:rsidR="00CE12E8" w:rsidRDefault="00CE12E8">
      <w:pPr>
        <w:jc w:val="both"/>
      </w:pPr>
    </w:p>
    <w:p w14:paraId="2C771818" w14:textId="77777777" w:rsidR="00CE12E8" w:rsidRDefault="00C15801">
      <w:pPr>
        <w:jc w:val="both"/>
        <w:rPr>
          <w:b/>
        </w:rPr>
      </w:pPr>
      <w:r>
        <w:rPr>
          <w:b/>
        </w:rPr>
        <w:t>Outcomes</w:t>
      </w:r>
    </w:p>
    <w:p w14:paraId="6FE42E9A" w14:textId="77777777" w:rsidR="00CE12E8" w:rsidRDefault="00C15801">
      <w:pPr>
        <w:jc w:val="both"/>
      </w:pPr>
      <w:r>
        <w:t xml:space="preserve">Selected Good Practices will be shared in the framework of the </w:t>
      </w:r>
      <w:hyperlink r:id="rId11">
        <w:r>
          <w:rPr>
            <w:color w:val="0563C1"/>
            <w:u w:val="single"/>
          </w:rPr>
          <w:t>4</w:t>
        </w:r>
      </w:hyperlink>
      <w:hyperlink r:id="rId12">
        <w:r>
          <w:rPr>
            <w:color w:val="0563C1"/>
            <w:u w:val="single"/>
            <w:vertAlign w:val="superscript"/>
          </w:rPr>
          <w:t>th</w:t>
        </w:r>
      </w:hyperlink>
      <w:hyperlink r:id="rId13">
        <w:r>
          <w:rPr>
            <w:color w:val="0563C1"/>
            <w:u w:val="single"/>
          </w:rPr>
          <w:t xml:space="preserve"> Global WOPs Congress</w:t>
        </w:r>
      </w:hyperlink>
      <w:r>
        <w:t>. The winners will be published on the UN-Habitat’s and the Global Water Operators’ Partnerships Alliance (GWOPA)’s websites and shared with members of the Alliance through the newsletter, social media channels and the Congress platform. Selected applicants may participate in interviews upon request.</w:t>
      </w:r>
    </w:p>
    <w:p w14:paraId="1FDCBAA4" w14:textId="77777777" w:rsidR="00CE12E8" w:rsidRDefault="00C15801">
      <w:pPr>
        <w:jc w:val="both"/>
        <w:rPr>
          <w:b/>
        </w:rPr>
      </w:pPr>
      <w:r>
        <w:rPr>
          <w:b/>
        </w:rPr>
        <w:lastRenderedPageBreak/>
        <w:t>Evaluation Criteria and Process</w:t>
      </w:r>
    </w:p>
    <w:p w14:paraId="71F0E03F" w14:textId="77777777" w:rsidR="00CE12E8" w:rsidRDefault="00C15801">
      <w:pPr>
        <w:jc w:val="both"/>
      </w:pPr>
      <w:r>
        <w:t>The submissions will be evaluated by the Selection Committee* using the following core criteria:</w:t>
      </w:r>
    </w:p>
    <w:p w14:paraId="40D7B358" w14:textId="77777777" w:rsidR="00CE12E8" w:rsidRDefault="00CE12E8">
      <w:pPr>
        <w:jc w:val="both"/>
      </w:pPr>
    </w:p>
    <w:p w14:paraId="2E080485" w14:textId="77777777" w:rsidR="00CE12E8" w:rsidRDefault="00C15801">
      <w:pPr>
        <w:numPr>
          <w:ilvl w:val="0"/>
          <w:numId w:val="1"/>
        </w:numPr>
        <w:pBdr>
          <w:top w:val="nil"/>
          <w:left w:val="nil"/>
          <w:bottom w:val="nil"/>
          <w:right w:val="nil"/>
          <w:between w:val="nil"/>
        </w:pBdr>
        <w:rPr>
          <w:color w:val="000000"/>
        </w:rPr>
      </w:pPr>
      <w:r>
        <w:rPr>
          <w:color w:val="000000"/>
        </w:rPr>
        <w:t xml:space="preserve">The approach/activities are relevant to challenges faced </w:t>
      </w:r>
    </w:p>
    <w:p w14:paraId="04A23C16" w14:textId="77777777" w:rsidR="00CE12E8" w:rsidRDefault="00C15801">
      <w:pPr>
        <w:numPr>
          <w:ilvl w:val="0"/>
          <w:numId w:val="1"/>
        </w:numPr>
        <w:pBdr>
          <w:top w:val="nil"/>
          <w:left w:val="nil"/>
          <w:bottom w:val="nil"/>
          <w:right w:val="nil"/>
          <w:between w:val="nil"/>
        </w:pBdr>
        <w:rPr>
          <w:color w:val="000000"/>
        </w:rPr>
      </w:pPr>
      <w:r>
        <w:rPr>
          <w:color w:val="000000"/>
        </w:rPr>
        <w:t>The practice is coherent and fits in harmony and synergy with related activities</w:t>
      </w:r>
    </w:p>
    <w:p w14:paraId="5EE7BC55" w14:textId="77777777" w:rsidR="00CE12E8" w:rsidRDefault="00C15801">
      <w:pPr>
        <w:numPr>
          <w:ilvl w:val="0"/>
          <w:numId w:val="1"/>
        </w:numPr>
        <w:pBdr>
          <w:top w:val="nil"/>
          <w:left w:val="nil"/>
          <w:bottom w:val="nil"/>
          <w:right w:val="nil"/>
          <w:between w:val="nil"/>
        </w:pBdr>
        <w:rPr>
          <w:color w:val="000000"/>
        </w:rPr>
      </w:pPr>
      <w:r>
        <w:rPr>
          <w:color w:val="000000"/>
        </w:rPr>
        <w:t>The practice is effective, making positive and sustainable impacts on beneficiaries</w:t>
      </w:r>
    </w:p>
    <w:p w14:paraId="7B30E663" w14:textId="77777777" w:rsidR="00CE12E8" w:rsidRDefault="00C15801">
      <w:pPr>
        <w:numPr>
          <w:ilvl w:val="0"/>
          <w:numId w:val="1"/>
        </w:numPr>
        <w:pBdr>
          <w:top w:val="nil"/>
          <w:left w:val="nil"/>
          <w:bottom w:val="nil"/>
          <w:right w:val="nil"/>
          <w:between w:val="nil"/>
        </w:pBdr>
        <w:rPr>
          <w:color w:val="000000"/>
        </w:rPr>
      </w:pPr>
      <w:r>
        <w:rPr>
          <w:color w:val="000000"/>
        </w:rPr>
        <w:t>The practice involves innovative solutions/approaches that accelerate sustainable responses to ongoing challenges.</w:t>
      </w:r>
    </w:p>
    <w:p w14:paraId="1E03582E" w14:textId="77777777" w:rsidR="00CE12E8" w:rsidRDefault="00C15801">
      <w:pPr>
        <w:numPr>
          <w:ilvl w:val="0"/>
          <w:numId w:val="1"/>
        </w:numPr>
        <w:pBdr>
          <w:top w:val="nil"/>
          <w:left w:val="nil"/>
          <w:bottom w:val="nil"/>
          <w:right w:val="nil"/>
          <w:between w:val="nil"/>
        </w:pBdr>
        <w:jc w:val="both"/>
        <w:rPr>
          <w:color w:val="000000"/>
        </w:rPr>
      </w:pPr>
      <w:r>
        <w:rPr>
          <w:color w:val="000000"/>
        </w:rPr>
        <w:t>The activities/practice can be applied or adapted by other water/sanitation utilities or within Water Operators’ Partnerships</w:t>
      </w:r>
    </w:p>
    <w:p w14:paraId="015AAC10" w14:textId="77777777" w:rsidR="00CE12E8" w:rsidRDefault="00CE12E8">
      <w:pPr>
        <w:jc w:val="both"/>
        <w:rPr>
          <w:color w:val="000000"/>
        </w:rPr>
      </w:pPr>
    </w:p>
    <w:p w14:paraId="0E87A301" w14:textId="77777777" w:rsidR="00CE12E8" w:rsidRDefault="00C15801">
      <w:pPr>
        <w:jc w:val="both"/>
      </w:pPr>
      <w:r>
        <w:t>* The Selection Committee will be comprised of members from GWOPA/UN-Habitat, the GWOPA International Steering Committee and/or WOPs Regional Platforms</w:t>
      </w:r>
    </w:p>
    <w:p w14:paraId="048511E5" w14:textId="77777777" w:rsidR="00CE12E8" w:rsidRDefault="00CE12E8">
      <w:pPr>
        <w:jc w:val="both"/>
      </w:pPr>
    </w:p>
    <w:p w14:paraId="000C2379" w14:textId="77777777" w:rsidR="00CE12E8" w:rsidRDefault="00C15801">
      <w:pPr>
        <w:jc w:val="both"/>
        <w:rPr>
          <w:b/>
        </w:rPr>
      </w:pPr>
      <w:r>
        <w:rPr>
          <w:b/>
        </w:rPr>
        <w:t>How to participate</w:t>
      </w:r>
    </w:p>
    <w:p w14:paraId="6CB9874C" w14:textId="77777777" w:rsidR="00CE12E8" w:rsidRDefault="00C15801">
      <w:pPr>
        <w:jc w:val="both"/>
      </w:pPr>
      <w:r>
        <w:t>To participate, please:</w:t>
      </w:r>
    </w:p>
    <w:p w14:paraId="248868DC" w14:textId="77777777" w:rsidR="00CE12E8" w:rsidRDefault="00CE12E8">
      <w:pPr>
        <w:jc w:val="both"/>
      </w:pPr>
    </w:p>
    <w:p w14:paraId="202B7B31" w14:textId="77777777" w:rsidR="00CE12E8" w:rsidRDefault="00C15801">
      <w:pPr>
        <w:numPr>
          <w:ilvl w:val="0"/>
          <w:numId w:val="3"/>
        </w:numPr>
        <w:pBdr>
          <w:top w:val="nil"/>
          <w:left w:val="nil"/>
          <w:bottom w:val="nil"/>
          <w:right w:val="nil"/>
          <w:between w:val="nil"/>
        </w:pBdr>
        <w:jc w:val="both"/>
      </w:pPr>
      <w:r>
        <w:rPr>
          <w:color w:val="000000"/>
        </w:rPr>
        <w:t>Fill the Application Form in one of the following languages: French, English, or Spanish</w:t>
      </w:r>
    </w:p>
    <w:p w14:paraId="3F21D447" w14:textId="77777777" w:rsidR="00CE12E8" w:rsidRDefault="00C15801">
      <w:pPr>
        <w:numPr>
          <w:ilvl w:val="0"/>
          <w:numId w:val="3"/>
        </w:numPr>
        <w:pBdr>
          <w:top w:val="nil"/>
          <w:left w:val="nil"/>
          <w:bottom w:val="nil"/>
          <w:right w:val="nil"/>
          <w:between w:val="nil"/>
        </w:pBdr>
        <w:jc w:val="both"/>
      </w:pPr>
      <w:r>
        <w:rPr>
          <w:color w:val="000000"/>
        </w:rPr>
        <w:t>Include up to four pictures in the submission. They should have copyright clearance and a suggested caption. The images size should be between 1500 and 2500 pixels wide.</w:t>
      </w:r>
    </w:p>
    <w:p w14:paraId="0FD97A98" w14:textId="0AF2B47E" w:rsidR="00CE12E8" w:rsidRDefault="00C15801">
      <w:pPr>
        <w:numPr>
          <w:ilvl w:val="0"/>
          <w:numId w:val="3"/>
        </w:numPr>
        <w:pBdr>
          <w:top w:val="nil"/>
          <w:left w:val="nil"/>
          <w:bottom w:val="nil"/>
          <w:right w:val="nil"/>
          <w:between w:val="nil"/>
        </w:pBdr>
        <w:jc w:val="both"/>
      </w:pPr>
      <w:r>
        <w:rPr>
          <w:color w:val="000000"/>
        </w:rPr>
        <w:t xml:space="preserve">Send all documents as attachments to </w:t>
      </w:r>
      <w:hyperlink r:id="rId14">
        <w:r>
          <w:rPr>
            <w:color w:val="0563C1"/>
            <w:u w:val="single"/>
          </w:rPr>
          <w:t>info@gwopa.org</w:t>
        </w:r>
      </w:hyperlink>
      <w:r>
        <w:rPr>
          <w:color w:val="000000"/>
        </w:rPr>
        <w:t xml:space="preserve"> </w:t>
      </w:r>
      <w:r>
        <w:rPr>
          <w:i/>
          <w:color w:val="000000"/>
        </w:rPr>
        <w:t xml:space="preserve">before </w:t>
      </w:r>
      <w:r w:rsidR="006E5519">
        <w:rPr>
          <w:i/>
          <w:color w:val="000000"/>
        </w:rPr>
        <w:t>12</w:t>
      </w:r>
      <w:r w:rsidR="007C6BDF" w:rsidRPr="007C6BDF">
        <w:rPr>
          <w:i/>
          <w:color w:val="000000"/>
        </w:rPr>
        <w:t xml:space="preserve"> October, midnight CEST</w:t>
      </w:r>
      <w:r w:rsidR="007C6BDF">
        <w:rPr>
          <w:i/>
          <w:color w:val="000000"/>
        </w:rPr>
        <w:t>.</w:t>
      </w:r>
    </w:p>
    <w:p w14:paraId="2540C1AF" w14:textId="77777777" w:rsidR="00CE12E8" w:rsidRDefault="00CE12E8">
      <w:pPr>
        <w:jc w:val="both"/>
      </w:pPr>
    </w:p>
    <w:p w14:paraId="40530D59" w14:textId="77777777" w:rsidR="00CE12E8" w:rsidRDefault="00C15801">
      <w:pPr>
        <w:jc w:val="both"/>
      </w:pPr>
      <w:r>
        <w:t>Should you have any doubt or enquiry, please do not hesitate contact us at the same email.</w:t>
      </w:r>
    </w:p>
    <w:p w14:paraId="4D33E0B4" w14:textId="77777777" w:rsidR="00CE12E8" w:rsidRDefault="00CE12E8">
      <w:pPr>
        <w:jc w:val="both"/>
        <w:rPr>
          <w:b/>
          <w:sz w:val="28"/>
          <w:szCs w:val="28"/>
        </w:rPr>
      </w:pPr>
    </w:p>
    <w:p w14:paraId="5A403D45" w14:textId="77777777" w:rsidR="00CE12E8" w:rsidRDefault="00CE12E8">
      <w:pPr>
        <w:jc w:val="both"/>
        <w:rPr>
          <w:b/>
          <w:sz w:val="28"/>
          <w:szCs w:val="28"/>
        </w:rPr>
      </w:pPr>
    </w:p>
    <w:p w14:paraId="6D7B5EC6" w14:textId="77777777" w:rsidR="00CE12E8" w:rsidRDefault="00CE12E8">
      <w:pPr>
        <w:jc w:val="both"/>
        <w:rPr>
          <w:b/>
          <w:sz w:val="28"/>
          <w:szCs w:val="28"/>
        </w:rPr>
      </w:pPr>
    </w:p>
    <w:p w14:paraId="30EFC28C" w14:textId="77777777" w:rsidR="00CE12E8" w:rsidRDefault="00CE12E8">
      <w:pPr>
        <w:jc w:val="both"/>
        <w:rPr>
          <w:b/>
          <w:sz w:val="28"/>
          <w:szCs w:val="28"/>
        </w:rPr>
      </w:pPr>
    </w:p>
    <w:p w14:paraId="79074EFF" w14:textId="77777777" w:rsidR="00CE12E8" w:rsidRDefault="00CE12E8">
      <w:pPr>
        <w:jc w:val="both"/>
        <w:rPr>
          <w:b/>
          <w:sz w:val="28"/>
          <w:szCs w:val="28"/>
        </w:rPr>
      </w:pPr>
    </w:p>
    <w:p w14:paraId="286E7A2F" w14:textId="77777777" w:rsidR="00CE12E8" w:rsidRDefault="00CE12E8">
      <w:pPr>
        <w:jc w:val="both"/>
        <w:rPr>
          <w:b/>
          <w:sz w:val="28"/>
          <w:szCs w:val="28"/>
        </w:rPr>
      </w:pPr>
    </w:p>
    <w:p w14:paraId="31522621" w14:textId="77777777" w:rsidR="00CE12E8" w:rsidRDefault="00CE12E8">
      <w:pPr>
        <w:jc w:val="both"/>
        <w:rPr>
          <w:b/>
          <w:sz w:val="28"/>
          <w:szCs w:val="28"/>
        </w:rPr>
      </w:pPr>
    </w:p>
    <w:p w14:paraId="378D9DA6" w14:textId="77777777" w:rsidR="00CE12E8" w:rsidRDefault="00CE12E8">
      <w:pPr>
        <w:jc w:val="both"/>
        <w:rPr>
          <w:b/>
          <w:sz w:val="28"/>
          <w:szCs w:val="28"/>
        </w:rPr>
      </w:pPr>
    </w:p>
    <w:p w14:paraId="4EE5C517" w14:textId="77777777" w:rsidR="00CE12E8" w:rsidRDefault="00CE12E8">
      <w:pPr>
        <w:jc w:val="both"/>
        <w:rPr>
          <w:b/>
          <w:sz w:val="28"/>
          <w:szCs w:val="28"/>
        </w:rPr>
      </w:pPr>
    </w:p>
    <w:p w14:paraId="5FC6F0C0" w14:textId="77777777" w:rsidR="00CE12E8" w:rsidRDefault="00CE12E8">
      <w:pPr>
        <w:jc w:val="both"/>
        <w:rPr>
          <w:b/>
          <w:sz w:val="28"/>
          <w:szCs w:val="28"/>
        </w:rPr>
      </w:pPr>
    </w:p>
    <w:p w14:paraId="6E0ED714" w14:textId="77777777" w:rsidR="00CE12E8" w:rsidRDefault="00CE12E8">
      <w:pPr>
        <w:jc w:val="both"/>
        <w:rPr>
          <w:b/>
          <w:sz w:val="28"/>
          <w:szCs w:val="28"/>
        </w:rPr>
      </w:pPr>
    </w:p>
    <w:p w14:paraId="4A5E1898" w14:textId="77777777" w:rsidR="00CE12E8" w:rsidRDefault="00CE12E8">
      <w:pPr>
        <w:jc w:val="both"/>
        <w:rPr>
          <w:b/>
          <w:sz w:val="28"/>
          <w:szCs w:val="28"/>
        </w:rPr>
      </w:pPr>
    </w:p>
    <w:p w14:paraId="16E262A7" w14:textId="77777777" w:rsidR="00CE12E8" w:rsidRDefault="00CE12E8">
      <w:pPr>
        <w:jc w:val="both"/>
        <w:rPr>
          <w:b/>
          <w:sz w:val="28"/>
          <w:szCs w:val="28"/>
        </w:rPr>
      </w:pPr>
    </w:p>
    <w:p w14:paraId="05EF5592" w14:textId="77777777" w:rsidR="00CE12E8" w:rsidRDefault="00CE12E8">
      <w:pPr>
        <w:jc w:val="both"/>
        <w:rPr>
          <w:b/>
          <w:sz w:val="28"/>
          <w:szCs w:val="28"/>
        </w:rPr>
      </w:pPr>
    </w:p>
    <w:p w14:paraId="49B27EA8" w14:textId="77777777" w:rsidR="00CE12E8" w:rsidRDefault="00CE12E8">
      <w:pPr>
        <w:jc w:val="both"/>
        <w:rPr>
          <w:b/>
          <w:sz w:val="28"/>
          <w:szCs w:val="28"/>
        </w:rPr>
      </w:pPr>
    </w:p>
    <w:p w14:paraId="5FB1CAD8" w14:textId="77777777" w:rsidR="00CE12E8" w:rsidRDefault="00CE12E8">
      <w:pPr>
        <w:jc w:val="both"/>
        <w:rPr>
          <w:b/>
          <w:sz w:val="28"/>
          <w:szCs w:val="28"/>
        </w:rPr>
      </w:pPr>
    </w:p>
    <w:p w14:paraId="42BFBC2D" w14:textId="77777777" w:rsidR="00CE12E8" w:rsidRDefault="00CE12E8">
      <w:pPr>
        <w:jc w:val="both"/>
        <w:rPr>
          <w:b/>
          <w:sz w:val="28"/>
          <w:szCs w:val="28"/>
        </w:rPr>
      </w:pPr>
    </w:p>
    <w:p w14:paraId="50A2DFEA" w14:textId="77777777" w:rsidR="00CE12E8" w:rsidRDefault="00CE12E8">
      <w:pPr>
        <w:jc w:val="both"/>
        <w:rPr>
          <w:b/>
          <w:sz w:val="28"/>
          <w:szCs w:val="28"/>
        </w:rPr>
      </w:pPr>
    </w:p>
    <w:p w14:paraId="1374FE7C" w14:textId="77777777" w:rsidR="00CE12E8" w:rsidRDefault="00CE12E8">
      <w:pPr>
        <w:jc w:val="both"/>
        <w:rPr>
          <w:b/>
          <w:sz w:val="28"/>
          <w:szCs w:val="28"/>
        </w:rPr>
      </w:pPr>
    </w:p>
    <w:p w14:paraId="0A5392CC" w14:textId="77777777" w:rsidR="00CE12E8" w:rsidRDefault="00C15801">
      <w:pPr>
        <w:jc w:val="both"/>
        <w:rPr>
          <w:b/>
          <w:sz w:val="28"/>
          <w:szCs w:val="28"/>
        </w:rPr>
      </w:pPr>
      <w:bookmarkStart w:id="0" w:name="_heading=h.gjdgxs" w:colFirst="0" w:colLast="0"/>
      <w:bookmarkEnd w:id="0"/>
      <w:r>
        <w:rPr>
          <w:b/>
          <w:sz w:val="28"/>
          <w:szCs w:val="28"/>
        </w:rPr>
        <w:t>APPLICATION FORM</w:t>
      </w:r>
    </w:p>
    <w:p w14:paraId="433354FB" w14:textId="77777777" w:rsidR="00CE12E8" w:rsidRDefault="00C15801">
      <w:pPr>
        <w:jc w:val="both"/>
        <w:rPr>
          <w:b/>
          <w:i/>
          <w:sz w:val="28"/>
          <w:szCs w:val="28"/>
        </w:rPr>
      </w:pPr>
      <w:r>
        <w:rPr>
          <w:i/>
        </w:rPr>
        <w:t>Kindly use the font Calibri (Body), font size 12</w:t>
      </w:r>
    </w:p>
    <w:p w14:paraId="234FF5DB" w14:textId="77777777" w:rsidR="00CE12E8" w:rsidRDefault="00CE12E8">
      <w:pPr>
        <w:jc w:val="both"/>
        <w:rPr>
          <w:b/>
          <w:sz w:val="22"/>
          <w:szCs w:val="22"/>
        </w:rPr>
      </w:pPr>
    </w:p>
    <w:p w14:paraId="4D978FC6" w14:textId="441BFD5E" w:rsidR="00CE12E8" w:rsidRDefault="00C15801">
      <w:pPr>
        <w:jc w:val="both"/>
        <w:rPr>
          <w:b/>
        </w:rPr>
      </w:pPr>
      <w:r>
        <w:rPr>
          <w:b/>
        </w:rPr>
        <w:t>SELECT THE CATEGORY OF THE GOOD PRACTICE</w:t>
      </w:r>
    </w:p>
    <w:p w14:paraId="00D3D2EC" w14:textId="77777777" w:rsidR="007C6BDF" w:rsidRDefault="007C6BDF">
      <w:pPr>
        <w:jc w:val="both"/>
        <w:rPr>
          <w:b/>
        </w:rPr>
      </w:pPr>
    </w:p>
    <w:p w14:paraId="4A738821" w14:textId="0E16AD14" w:rsidR="00CE12E8" w:rsidRDefault="007C6BDF" w:rsidP="007C6BDF">
      <w:pPr>
        <w:jc w:val="both"/>
        <w:rPr>
          <w:rFonts w:ascii="Noto Sans Symbols" w:eastAsia="Noto Sans Symbols" w:hAnsi="Noto Sans Symbols" w:cs="Noto Sans Symbols"/>
        </w:rPr>
      </w:pPr>
      <w:r>
        <w:fldChar w:fldCharType="begin">
          <w:ffData>
            <w:name w:val="Check1"/>
            <w:enabled/>
            <w:calcOnExit w:val="0"/>
            <w:checkBox>
              <w:sizeAuto/>
              <w:default w:val="0"/>
            </w:checkBox>
          </w:ffData>
        </w:fldChar>
      </w:r>
      <w:bookmarkStart w:id="1" w:name="Check1"/>
      <w:r>
        <w:instrText xml:space="preserve"> FORMCHECKBOX </w:instrText>
      </w:r>
      <w:r w:rsidR="00003C93">
        <w:fldChar w:fldCharType="separate"/>
      </w:r>
      <w:r>
        <w:fldChar w:fldCharType="end"/>
      </w:r>
      <w:bookmarkEnd w:id="1"/>
      <w:r>
        <w:t xml:space="preserve">  </w:t>
      </w:r>
      <w:r w:rsidR="00C15801">
        <w:t>Gender Inclusion in Water Utilities and WOPs</w:t>
      </w:r>
    </w:p>
    <w:p w14:paraId="3465E557" w14:textId="77777777" w:rsidR="007C6BDF" w:rsidRDefault="007C6BDF" w:rsidP="007C6BDF">
      <w:pPr>
        <w:jc w:val="both"/>
      </w:pPr>
    </w:p>
    <w:p w14:paraId="4D3A34BA" w14:textId="670B37BB" w:rsidR="00CE12E8" w:rsidRDefault="007C6BDF" w:rsidP="007C6BDF">
      <w:pPr>
        <w:jc w:val="both"/>
      </w:pPr>
      <w:r>
        <w:fldChar w:fldCharType="begin">
          <w:ffData>
            <w:name w:val="Check2"/>
            <w:enabled/>
            <w:calcOnExit w:val="0"/>
            <w:checkBox>
              <w:sizeAuto/>
              <w:default w:val="0"/>
            </w:checkBox>
          </w:ffData>
        </w:fldChar>
      </w:r>
      <w:bookmarkStart w:id="2" w:name="Check2"/>
      <w:r>
        <w:instrText xml:space="preserve"> FORMCHECKBOX </w:instrText>
      </w:r>
      <w:r w:rsidR="00003C93">
        <w:fldChar w:fldCharType="separate"/>
      </w:r>
      <w:r>
        <w:fldChar w:fldCharType="end"/>
      </w:r>
      <w:bookmarkEnd w:id="2"/>
      <w:r>
        <w:t xml:space="preserve">  </w:t>
      </w:r>
      <w:r w:rsidR="00C15801">
        <w:t>Transparency and Integrity in Water Utilities and WOPs</w:t>
      </w:r>
    </w:p>
    <w:p w14:paraId="4D059C23" w14:textId="77777777" w:rsidR="00CE12E8" w:rsidRDefault="00CE12E8">
      <w:pPr>
        <w:jc w:val="both"/>
      </w:pPr>
    </w:p>
    <w:p w14:paraId="6B43B903" w14:textId="77777777" w:rsidR="00CE12E8" w:rsidRDefault="00C15801">
      <w:pPr>
        <w:jc w:val="both"/>
        <w:rPr>
          <w:b/>
        </w:rPr>
      </w:pPr>
      <w:r>
        <w:rPr>
          <w:b/>
        </w:rPr>
        <w:t>AUTHOR/SUBMITTER DETAILS</w:t>
      </w:r>
    </w:p>
    <w:p w14:paraId="201DA12D" w14:textId="77777777" w:rsidR="00CE12E8" w:rsidRDefault="00CE12E8">
      <w:pPr>
        <w:jc w:val="both"/>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E12E8" w14:paraId="22BB59CE" w14:textId="77777777">
        <w:tc>
          <w:tcPr>
            <w:tcW w:w="4675" w:type="dxa"/>
          </w:tcPr>
          <w:p w14:paraId="2BBD0335" w14:textId="77777777" w:rsidR="00CE12E8" w:rsidRDefault="00C15801">
            <w:pPr>
              <w:jc w:val="both"/>
            </w:pPr>
            <w:r>
              <w:t>Name (Surname, First name)</w:t>
            </w:r>
          </w:p>
        </w:tc>
        <w:tc>
          <w:tcPr>
            <w:tcW w:w="4675" w:type="dxa"/>
          </w:tcPr>
          <w:p w14:paraId="0D30C327" w14:textId="77777777" w:rsidR="00CE12E8" w:rsidRDefault="00CE12E8">
            <w:pPr>
              <w:jc w:val="both"/>
            </w:pPr>
          </w:p>
        </w:tc>
      </w:tr>
      <w:tr w:rsidR="00CE12E8" w14:paraId="6DB918E5" w14:textId="77777777">
        <w:tc>
          <w:tcPr>
            <w:tcW w:w="4675" w:type="dxa"/>
          </w:tcPr>
          <w:p w14:paraId="0870F4E1" w14:textId="77777777" w:rsidR="00CE12E8" w:rsidRDefault="00C15801">
            <w:pPr>
              <w:jc w:val="both"/>
            </w:pPr>
            <w:r>
              <w:t>Country of residence</w:t>
            </w:r>
          </w:p>
        </w:tc>
        <w:tc>
          <w:tcPr>
            <w:tcW w:w="4675" w:type="dxa"/>
          </w:tcPr>
          <w:p w14:paraId="706F0253" w14:textId="77777777" w:rsidR="00CE12E8" w:rsidRDefault="00CE12E8">
            <w:pPr>
              <w:jc w:val="both"/>
            </w:pPr>
          </w:p>
        </w:tc>
      </w:tr>
      <w:tr w:rsidR="00CE12E8" w14:paraId="2CFDDBDC" w14:textId="77777777">
        <w:tc>
          <w:tcPr>
            <w:tcW w:w="4675" w:type="dxa"/>
          </w:tcPr>
          <w:p w14:paraId="70FCF503" w14:textId="77777777" w:rsidR="00CE12E8" w:rsidRDefault="00C15801">
            <w:pPr>
              <w:jc w:val="both"/>
            </w:pPr>
            <w:r>
              <w:t>Organization</w:t>
            </w:r>
          </w:p>
        </w:tc>
        <w:tc>
          <w:tcPr>
            <w:tcW w:w="4675" w:type="dxa"/>
          </w:tcPr>
          <w:p w14:paraId="33505C9E" w14:textId="77777777" w:rsidR="00CE12E8" w:rsidRDefault="00CE12E8">
            <w:pPr>
              <w:jc w:val="both"/>
            </w:pPr>
          </w:p>
        </w:tc>
      </w:tr>
      <w:tr w:rsidR="00CE12E8" w14:paraId="6F6FE487" w14:textId="77777777">
        <w:tc>
          <w:tcPr>
            <w:tcW w:w="4675" w:type="dxa"/>
          </w:tcPr>
          <w:p w14:paraId="21E8652F" w14:textId="77777777" w:rsidR="00CE12E8" w:rsidRDefault="00C15801">
            <w:pPr>
              <w:jc w:val="both"/>
            </w:pPr>
            <w:r>
              <w:t>Job position</w:t>
            </w:r>
          </w:p>
        </w:tc>
        <w:tc>
          <w:tcPr>
            <w:tcW w:w="4675" w:type="dxa"/>
          </w:tcPr>
          <w:p w14:paraId="6B7E82E1" w14:textId="77777777" w:rsidR="00CE12E8" w:rsidRDefault="00CE12E8">
            <w:pPr>
              <w:jc w:val="both"/>
            </w:pPr>
          </w:p>
        </w:tc>
      </w:tr>
      <w:tr w:rsidR="00CE12E8" w14:paraId="5FAB08E2" w14:textId="77777777">
        <w:tc>
          <w:tcPr>
            <w:tcW w:w="4675" w:type="dxa"/>
          </w:tcPr>
          <w:p w14:paraId="329EF360" w14:textId="77777777" w:rsidR="00CE12E8" w:rsidRDefault="00C15801">
            <w:pPr>
              <w:jc w:val="both"/>
            </w:pPr>
            <w:r>
              <w:t>E-mail address</w:t>
            </w:r>
          </w:p>
        </w:tc>
        <w:tc>
          <w:tcPr>
            <w:tcW w:w="4675" w:type="dxa"/>
          </w:tcPr>
          <w:p w14:paraId="16EB65BF" w14:textId="77777777" w:rsidR="00CE12E8" w:rsidRDefault="00CE12E8">
            <w:pPr>
              <w:jc w:val="both"/>
            </w:pPr>
          </w:p>
        </w:tc>
      </w:tr>
    </w:tbl>
    <w:p w14:paraId="3F809E4B" w14:textId="77777777" w:rsidR="00CE12E8" w:rsidRDefault="00CE12E8">
      <w:pPr>
        <w:jc w:val="both"/>
      </w:pPr>
    </w:p>
    <w:p w14:paraId="44457511" w14:textId="77777777" w:rsidR="00CE12E8" w:rsidRDefault="00C15801">
      <w:r>
        <w:rPr>
          <w:b/>
        </w:rPr>
        <w:t>TITLE OF THE GOOD PRACTICE</w:t>
      </w:r>
    </w:p>
    <w:p w14:paraId="37A8F481" w14:textId="77777777" w:rsidR="00CE12E8" w:rsidRDefault="00C15801">
      <w:pPr>
        <w:jc w:val="both"/>
      </w:pPr>
      <w:r>
        <w:t>Maximum 10 words</w:t>
      </w:r>
    </w:p>
    <w:p w14:paraId="67B8BED8" w14:textId="77777777" w:rsidR="00CE12E8" w:rsidRDefault="00CE12E8">
      <w:pPr>
        <w:jc w:val="both"/>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E12E8" w14:paraId="4AE9432D" w14:textId="77777777">
        <w:tc>
          <w:tcPr>
            <w:tcW w:w="9350" w:type="dxa"/>
          </w:tcPr>
          <w:p w14:paraId="357E5756" w14:textId="77777777" w:rsidR="00CE12E8" w:rsidRDefault="00CE12E8">
            <w:pPr>
              <w:jc w:val="both"/>
            </w:pPr>
          </w:p>
        </w:tc>
      </w:tr>
    </w:tbl>
    <w:p w14:paraId="71C2F361" w14:textId="77777777" w:rsidR="00CE12E8" w:rsidRDefault="00CE12E8">
      <w:pPr>
        <w:jc w:val="both"/>
      </w:pPr>
    </w:p>
    <w:p w14:paraId="5EFFCEDE" w14:textId="77777777" w:rsidR="00CE12E8" w:rsidRDefault="00C15801">
      <w:pPr>
        <w:jc w:val="both"/>
        <w:rPr>
          <w:b/>
        </w:rPr>
      </w:pPr>
      <w:r>
        <w:rPr>
          <w:b/>
        </w:rPr>
        <w:t>DESCRIPTION OF THE GOOD PRACTICE</w:t>
      </w:r>
    </w:p>
    <w:p w14:paraId="16AFF397" w14:textId="77777777" w:rsidR="00CE12E8" w:rsidRDefault="00C15801">
      <w:pPr>
        <w:jc w:val="both"/>
      </w:pPr>
      <w:r>
        <w:t>Please give a brief overview of the good practice (what), including brief context, and why (relevance), how, when, where and by whom the initiative was implemented. Maximum 250 words</w:t>
      </w:r>
    </w:p>
    <w:p w14:paraId="7720B2A2" w14:textId="77777777" w:rsidR="00CE12E8" w:rsidRDefault="00CE12E8">
      <w:pPr>
        <w:jc w:val="both"/>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E12E8" w14:paraId="7611E7AE" w14:textId="77777777">
        <w:tc>
          <w:tcPr>
            <w:tcW w:w="9350" w:type="dxa"/>
          </w:tcPr>
          <w:p w14:paraId="3C71D555" w14:textId="77777777" w:rsidR="00CE12E8" w:rsidRDefault="00CE12E8">
            <w:pPr>
              <w:jc w:val="both"/>
            </w:pPr>
          </w:p>
        </w:tc>
      </w:tr>
    </w:tbl>
    <w:p w14:paraId="27F1FB31" w14:textId="77777777" w:rsidR="00CE12E8" w:rsidRDefault="00CE12E8">
      <w:pPr>
        <w:jc w:val="both"/>
      </w:pPr>
    </w:p>
    <w:p w14:paraId="093E5FBF" w14:textId="77777777" w:rsidR="00CE12E8" w:rsidRDefault="00C15801">
      <w:pPr>
        <w:jc w:val="both"/>
        <w:rPr>
          <w:b/>
        </w:rPr>
      </w:pPr>
      <w:r>
        <w:rPr>
          <w:b/>
        </w:rPr>
        <w:t>OBJECTIVES AND ACTIVITIES</w:t>
      </w:r>
    </w:p>
    <w:p w14:paraId="38EBC6CD" w14:textId="77777777" w:rsidR="00CE12E8" w:rsidRDefault="00C15801">
      <w:pPr>
        <w:jc w:val="both"/>
      </w:pPr>
      <w:r>
        <w:t>Please describe the overall goal of the initiative and its activities and milestones in chronological order as well as the relation to other activities within the water utility or WOP. Please provide details about innovative solutions, if applied. Maximum 300 words</w:t>
      </w:r>
    </w:p>
    <w:p w14:paraId="48368AF4" w14:textId="77777777" w:rsidR="00CE12E8" w:rsidRDefault="00CE12E8">
      <w:pPr>
        <w:jc w:val="both"/>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E12E8" w14:paraId="3C191829" w14:textId="77777777">
        <w:tc>
          <w:tcPr>
            <w:tcW w:w="9350" w:type="dxa"/>
          </w:tcPr>
          <w:p w14:paraId="6F7D7C5E" w14:textId="77777777" w:rsidR="00CE12E8" w:rsidRDefault="00CE12E8">
            <w:pPr>
              <w:jc w:val="both"/>
            </w:pPr>
          </w:p>
        </w:tc>
      </w:tr>
    </w:tbl>
    <w:p w14:paraId="29C0BA08" w14:textId="77777777" w:rsidR="00CE12E8" w:rsidRDefault="00CE12E8">
      <w:pPr>
        <w:jc w:val="both"/>
      </w:pPr>
    </w:p>
    <w:p w14:paraId="61AD9647" w14:textId="77777777" w:rsidR="00CE12E8" w:rsidRDefault="00C15801">
      <w:pPr>
        <w:jc w:val="both"/>
      </w:pPr>
      <w:r>
        <w:rPr>
          <w:b/>
        </w:rPr>
        <w:t>RESULTS AND IMPACT</w:t>
      </w:r>
    </w:p>
    <w:p w14:paraId="5B6B05AC" w14:textId="77777777" w:rsidR="00CE12E8" w:rsidRDefault="00C15801">
      <w:pPr>
        <w:jc w:val="both"/>
      </w:pPr>
      <w:r>
        <w:t>Explain how the good practice contributes to results and impact in the selected category (gender inclusion in water utilities and WOPs, or transparency and integrity in water utilities and WOPs). Please make sure to indicate, wherever relevant, impacts on: ultimate beneficiaries, utilities’ staff, awareness, capacity development, investment and services. How sustainable have they been? Maximum 500 words</w:t>
      </w:r>
    </w:p>
    <w:p w14:paraId="33C57632" w14:textId="77777777" w:rsidR="00CE12E8" w:rsidRDefault="00CE12E8">
      <w:pPr>
        <w:jc w:val="both"/>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E12E8" w14:paraId="6C52B0EF" w14:textId="77777777">
        <w:tc>
          <w:tcPr>
            <w:tcW w:w="9350" w:type="dxa"/>
          </w:tcPr>
          <w:p w14:paraId="3954266B" w14:textId="77777777" w:rsidR="00CE12E8" w:rsidRDefault="00CE12E8">
            <w:pPr>
              <w:jc w:val="both"/>
            </w:pPr>
          </w:p>
        </w:tc>
      </w:tr>
    </w:tbl>
    <w:p w14:paraId="3B5AA767" w14:textId="77777777" w:rsidR="00CE12E8" w:rsidRDefault="00CE12E8">
      <w:pPr>
        <w:jc w:val="both"/>
        <w:rPr>
          <w:b/>
        </w:rPr>
      </w:pPr>
    </w:p>
    <w:p w14:paraId="1FD4E785" w14:textId="77777777" w:rsidR="00CE12E8" w:rsidRDefault="00C15801">
      <w:pPr>
        <w:jc w:val="both"/>
        <w:rPr>
          <w:b/>
        </w:rPr>
      </w:pPr>
      <w:r>
        <w:rPr>
          <w:b/>
        </w:rPr>
        <w:lastRenderedPageBreak/>
        <w:t>TRANSFERABILITY</w:t>
      </w:r>
    </w:p>
    <w:p w14:paraId="45C2AFA2" w14:textId="77777777" w:rsidR="00CE12E8" w:rsidRDefault="00C15801">
      <w:pPr>
        <w:jc w:val="both"/>
      </w:pPr>
      <w:r>
        <w:t>Please indicate how your practice might be applied by other utilities or in WOPs. Maximum 250 words</w:t>
      </w:r>
    </w:p>
    <w:p w14:paraId="58D8BD48" w14:textId="77777777" w:rsidR="00CE12E8" w:rsidRDefault="00CE12E8">
      <w:pPr>
        <w:jc w:val="both"/>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E12E8" w14:paraId="3DE741DA" w14:textId="77777777">
        <w:tc>
          <w:tcPr>
            <w:tcW w:w="9350" w:type="dxa"/>
          </w:tcPr>
          <w:p w14:paraId="0DE24E6C" w14:textId="77777777" w:rsidR="00CE12E8" w:rsidRDefault="00CE12E8">
            <w:pPr>
              <w:jc w:val="both"/>
            </w:pPr>
          </w:p>
        </w:tc>
      </w:tr>
    </w:tbl>
    <w:p w14:paraId="6BD62002" w14:textId="77777777" w:rsidR="00CE12E8" w:rsidRDefault="00CE12E8">
      <w:pPr>
        <w:jc w:val="both"/>
      </w:pPr>
    </w:p>
    <w:p w14:paraId="1096E870" w14:textId="77777777" w:rsidR="00CE12E8" w:rsidRDefault="00C15801">
      <w:pPr>
        <w:jc w:val="both"/>
      </w:pPr>
      <w:r>
        <w:rPr>
          <w:b/>
        </w:rPr>
        <w:t>KEY ACTORS INVOLVED</w:t>
      </w:r>
    </w:p>
    <w:p w14:paraId="085FBFF9" w14:textId="77777777" w:rsidR="00CE12E8" w:rsidRDefault="00C15801">
      <w:pPr>
        <w:jc w:val="both"/>
      </w:pPr>
      <w:r>
        <w:t>How the different actors were involved in the design and implementation of the good practice. Maximum 300 words</w:t>
      </w:r>
    </w:p>
    <w:p w14:paraId="5C54582C" w14:textId="77777777" w:rsidR="00CE12E8" w:rsidRDefault="00CE12E8">
      <w:pPr>
        <w:jc w:val="both"/>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E12E8" w14:paraId="3F395511" w14:textId="77777777">
        <w:tc>
          <w:tcPr>
            <w:tcW w:w="9350" w:type="dxa"/>
          </w:tcPr>
          <w:p w14:paraId="2AC769FA" w14:textId="77777777" w:rsidR="00CE12E8" w:rsidRDefault="00CE12E8">
            <w:pPr>
              <w:jc w:val="both"/>
            </w:pPr>
          </w:p>
        </w:tc>
      </w:tr>
    </w:tbl>
    <w:p w14:paraId="15813E53" w14:textId="77777777" w:rsidR="00CE12E8" w:rsidRDefault="00CE12E8">
      <w:pPr>
        <w:jc w:val="both"/>
      </w:pPr>
    </w:p>
    <w:p w14:paraId="1A40C521" w14:textId="77777777" w:rsidR="00CE12E8" w:rsidRDefault="00C15801">
      <w:pPr>
        <w:jc w:val="both"/>
        <w:rPr>
          <w:b/>
        </w:rPr>
      </w:pPr>
      <w:r>
        <w:rPr>
          <w:b/>
        </w:rPr>
        <w:t>ADDITIONAL INFORMATION</w:t>
      </w:r>
    </w:p>
    <w:p w14:paraId="41D747B3" w14:textId="77777777" w:rsidR="00CE12E8" w:rsidRDefault="00C15801">
      <w:pPr>
        <w:jc w:val="both"/>
      </w:pPr>
      <w:r>
        <w:t>To support your application, please add:</w:t>
      </w:r>
    </w:p>
    <w:p w14:paraId="7AE66727" w14:textId="77777777" w:rsidR="00CE12E8" w:rsidRDefault="00C15801">
      <w:pPr>
        <w:jc w:val="both"/>
      </w:pPr>
      <w:r>
        <w:t>- Photos (from 1-4 photos are required. See submission instructions above)</w:t>
      </w:r>
    </w:p>
    <w:p w14:paraId="74104E28" w14:textId="77777777" w:rsidR="00CE12E8" w:rsidRDefault="00C15801">
      <w:pPr>
        <w:jc w:val="both"/>
      </w:pPr>
      <w:r>
        <w:t>- Links to post(s) in social media and/or;</w:t>
      </w:r>
    </w:p>
    <w:p w14:paraId="309352A3" w14:textId="77777777" w:rsidR="00CE12E8" w:rsidRDefault="00C15801">
      <w:pPr>
        <w:jc w:val="both"/>
      </w:pPr>
      <w:r>
        <w:t>- Links to YouTube video(s) and/or;</w:t>
      </w:r>
    </w:p>
    <w:p w14:paraId="1ED605AB" w14:textId="77777777" w:rsidR="00CE12E8" w:rsidRDefault="00C15801">
      <w:pPr>
        <w:jc w:val="both"/>
      </w:pPr>
      <w:r>
        <w:t>- Print (as attachment) or online (link) published materials – article, brochure, leaflet, etc.</w:t>
      </w:r>
    </w:p>
    <w:p w14:paraId="13A42B6B" w14:textId="77777777" w:rsidR="00CE12E8" w:rsidRDefault="00CE12E8">
      <w:pPr>
        <w:jc w:val="both"/>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E12E8" w14:paraId="6EE8E20D" w14:textId="77777777">
        <w:tc>
          <w:tcPr>
            <w:tcW w:w="9350" w:type="dxa"/>
          </w:tcPr>
          <w:p w14:paraId="1C22677D" w14:textId="77777777" w:rsidR="00CE12E8" w:rsidRDefault="00CE12E8">
            <w:pPr>
              <w:jc w:val="both"/>
            </w:pPr>
          </w:p>
        </w:tc>
      </w:tr>
    </w:tbl>
    <w:p w14:paraId="7734FD0A" w14:textId="77777777" w:rsidR="00CE12E8" w:rsidRDefault="00CE12E8">
      <w:pPr>
        <w:jc w:val="both"/>
      </w:pPr>
    </w:p>
    <w:p w14:paraId="46DC4D43" w14:textId="77777777" w:rsidR="00CE12E8" w:rsidRDefault="00CE12E8">
      <w:pPr>
        <w:jc w:val="both"/>
        <w:rPr>
          <w:i/>
        </w:rPr>
      </w:pPr>
    </w:p>
    <w:p w14:paraId="0C8CDB16" w14:textId="77777777" w:rsidR="00CE12E8" w:rsidRDefault="00CE12E8">
      <w:pPr>
        <w:jc w:val="both"/>
        <w:rPr>
          <w:i/>
        </w:rPr>
      </w:pPr>
    </w:p>
    <w:p w14:paraId="12BD8302" w14:textId="77777777" w:rsidR="00CE12E8" w:rsidRDefault="00CE12E8">
      <w:pPr>
        <w:jc w:val="both"/>
        <w:rPr>
          <w:i/>
        </w:rPr>
      </w:pPr>
    </w:p>
    <w:p w14:paraId="0B57970E" w14:textId="77777777" w:rsidR="00CE12E8" w:rsidRDefault="00CE12E8">
      <w:pPr>
        <w:jc w:val="both"/>
        <w:rPr>
          <w:i/>
        </w:rPr>
      </w:pPr>
    </w:p>
    <w:p w14:paraId="3A4AB7D2" w14:textId="77777777" w:rsidR="00CE12E8" w:rsidRDefault="00CE12E8">
      <w:pPr>
        <w:jc w:val="both"/>
        <w:rPr>
          <w:i/>
        </w:rPr>
      </w:pPr>
    </w:p>
    <w:p w14:paraId="5F7AD4EB" w14:textId="77777777" w:rsidR="00CE12E8" w:rsidRDefault="00CE12E8">
      <w:pPr>
        <w:jc w:val="both"/>
        <w:rPr>
          <w:i/>
        </w:rPr>
      </w:pPr>
    </w:p>
    <w:p w14:paraId="06472F37" w14:textId="77777777" w:rsidR="00CE12E8" w:rsidRDefault="00CE12E8">
      <w:pPr>
        <w:jc w:val="both"/>
        <w:rPr>
          <w:i/>
        </w:rPr>
      </w:pPr>
    </w:p>
    <w:p w14:paraId="73EAFD69" w14:textId="77777777" w:rsidR="00CE12E8" w:rsidRDefault="00CE12E8">
      <w:pPr>
        <w:jc w:val="both"/>
        <w:rPr>
          <w:i/>
        </w:rPr>
      </w:pPr>
    </w:p>
    <w:p w14:paraId="19089A56" w14:textId="77777777" w:rsidR="00CE12E8" w:rsidRDefault="00CE12E8">
      <w:pPr>
        <w:jc w:val="both"/>
        <w:rPr>
          <w:i/>
        </w:rPr>
      </w:pPr>
    </w:p>
    <w:p w14:paraId="7A158C03" w14:textId="77777777" w:rsidR="00CE12E8" w:rsidRDefault="00CE12E8">
      <w:pPr>
        <w:jc w:val="both"/>
        <w:rPr>
          <w:i/>
        </w:rPr>
      </w:pPr>
    </w:p>
    <w:p w14:paraId="27A946D4" w14:textId="77777777" w:rsidR="00CE12E8" w:rsidRDefault="00CE12E8">
      <w:pPr>
        <w:jc w:val="both"/>
        <w:rPr>
          <w:i/>
        </w:rPr>
      </w:pPr>
    </w:p>
    <w:p w14:paraId="240EF0AF" w14:textId="77777777" w:rsidR="00CE12E8" w:rsidRDefault="00CE12E8">
      <w:pPr>
        <w:jc w:val="both"/>
        <w:rPr>
          <w:i/>
        </w:rPr>
      </w:pPr>
    </w:p>
    <w:p w14:paraId="6C342FDB" w14:textId="77777777" w:rsidR="00CE12E8" w:rsidRDefault="00CE12E8">
      <w:pPr>
        <w:jc w:val="both"/>
        <w:rPr>
          <w:i/>
        </w:rPr>
      </w:pPr>
    </w:p>
    <w:p w14:paraId="291CCCEF" w14:textId="77777777" w:rsidR="00CE12E8" w:rsidRDefault="00CE12E8">
      <w:pPr>
        <w:jc w:val="both"/>
        <w:rPr>
          <w:i/>
        </w:rPr>
      </w:pPr>
    </w:p>
    <w:p w14:paraId="50EEC7B6" w14:textId="77777777" w:rsidR="00CE12E8" w:rsidRDefault="00CE12E8">
      <w:pPr>
        <w:jc w:val="both"/>
        <w:rPr>
          <w:i/>
        </w:rPr>
      </w:pPr>
    </w:p>
    <w:p w14:paraId="7370779E" w14:textId="77777777" w:rsidR="00CE12E8" w:rsidRDefault="00CE12E8">
      <w:pPr>
        <w:jc w:val="both"/>
        <w:rPr>
          <w:i/>
        </w:rPr>
      </w:pPr>
    </w:p>
    <w:p w14:paraId="3CA9D4D2" w14:textId="77777777" w:rsidR="00CE12E8" w:rsidRDefault="00CE12E8">
      <w:pPr>
        <w:jc w:val="both"/>
        <w:rPr>
          <w:i/>
        </w:rPr>
      </w:pPr>
    </w:p>
    <w:p w14:paraId="5A564FD5" w14:textId="77777777" w:rsidR="00CE12E8" w:rsidRDefault="00CE12E8">
      <w:pPr>
        <w:jc w:val="both"/>
        <w:rPr>
          <w:i/>
        </w:rPr>
      </w:pPr>
    </w:p>
    <w:p w14:paraId="3C418C86" w14:textId="77777777" w:rsidR="00CE12E8" w:rsidRDefault="00C15801">
      <w:pPr>
        <w:jc w:val="both"/>
        <w:rPr>
          <w:i/>
        </w:rPr>
      </w:pPr>
      <w:r>
        <w:rPr>
          <w:i/>
        </w:rPr>
        <w:t xml:space="preserve">Date: </w:t>
      </w:r>
    </w:p>
    <w:p w14:paraId="39B8CAF8" w14:textId="77777777" w:rsidR="00CE12E8" w:rsidRDefault="00CE12E8">
      <w:pPr>
        <w:jc w:val="both"/>
        <w:rPr>
          <w:i/>
        </w:rPr>
      </w:pPr>
    </w:p>
    <w:p w14:paraId="014F6137" w14:textId="77777777" w:rsidR="00CE12E8" w:rsidRDefault="00C15801">
      <w:pPr>
        <w:jc w:val="both"/>
      </w:pPr>
      <w:r>
        <w:rPr>
          <w:i/>
        </w:rPr>
        <w:t>By submitting this good practice for the Call, the author allows GWOPA/UN-Habitat and its partners to use and publish the information and the submitted content for various purposes and in different formats</w:t>
      </w:r>
    </w:p>
    <w:sectPr w:rsidR="00CE12E8">
      <w:headerReference w:type="first" r:id="rId15"/>
      <w:footerReference w:type="first" r:id="rId16"/>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E35DB" w14:textId="77777777" w:rsidR="00003C93" w:rsidRDefault="00003C93">
      <w:r>
        <w:separator/>
      </w:r>
    </w:p>
  </w:endnote>
  <w:endnote w:type="continuationSeparator" w:id="0">
    <w:p w14:paraId="134FC3FE" w14:textId="77777777" w:rsidR="00003C93" w:rsidRDefault="00003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8FD8" w14:textId="77777777" w:rsidR="00CE12E8" w:rsidRDefault="00CE12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D54FE" w14:textId="77777777" w:rsidR="00003C93" w:rsidRDefault="00003C93">
      <w:r>
        <w:separator/>
      </w:r>
    </w:p>
  </w:footnote>
  <w:footnote w:type="continuationSeparator" w:id="0">
    <w:p w14:paraId="4B918193" w14:textId="77777777" w:rsidR="00003C93" w:rsidRDefault="00003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C757" w14:textId="77777777" w:rsidR="00CE12E8" w:rsidRDefault="00CE12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570E"/>
    <w:multiLevelType w:val="multilevel"/>
    <w:tmpl w:val="FDEE509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9B3B37"/>
    <w:multiLevelType w:val="multilevel"/>
    <w:tmpl w:val="CC625C3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9C83A2D"/>
    <w:multiLevelType w:val="multilevel"/>
    <w:tmpl w:val="FFA284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2E8"/>
    <w:rsid w:val="00003C93"/>
    <w:rsid w:val="006E5519"/>
    <w:rsid w:val="007C6BDF"/>
    <w:rsid w:val="00C15801"/>
    <w:rsid w:val="00CE12E8"/>
  </w:rsids>
  <m:mathPr>
    <m:mathFont m:val="Cambria Math"/>
    <m:brkBin m:val="before"/>
    <m:brkBinSub m:val="--"/>
    <m:smallFrac m:val="0"/>
    <m:dispDef/>
    <m:lMargin m:val="0"/>
    <m:rMargin m:val="0"/>
    <m:defJc m:val="centerGroup"/>
    <m:wrapIndent m:val="1440"/>
    <m:intLim m:val="subSup"/>
    <m:naryLim m:val="undOvr"/>
  </m:mathPr>
  <w:themeFontLang w:val="en-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D1772"/>
  <w15:docId w15:val="{D78A0961-631A-F24A-866C-B515EF5B8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D61B6"/>
    <w:pPr>
      <w:ind w:left="720"/>
      <w:contextualSpacing/>
    </w:pPr>
  </w:style>
  <w:style w:type="character" w:styleId="Hyperlink">
    <w:name w:val="Hyperlink"/>
    <w:basedOn w:val="DefaultParagraphFont"/>
    <w:uiPriority w:val="99"/>
    <w:unhideWhenUsed/>
    <w:rsid w:val="00BF48F0"/>
    <w:rPr>
      <w:color w:val="0563C1" w:themeColor="hyperlink"/>
      <w:u w:val="single"/>
    </w:rPr>
  </w:style>
  <w:style w:type="character" w:styleId="CommentReference">
    <w:name w:val="annotation reference"/>
    <w:basedOn w:val="DefaultParagraphFont"/>
    <w:uiPriority w:val="99"/>
    <w:semiHidden/>
    <w:unhideWhenUsed/>
    <w:rsid w:val="00F24ED0"/>
    <w:rPr>
      <w:sz w:val="16"/>
      <w:szCs w:val="16"/>
    </w:rPr>
  </w:style>
  <w:style w:type="paragraph" w:styleId="CommentText">
    <w:name w:val="annotation text"/>
    <w:basedOn w:val="Normal"/>
    <w:link w:val="CommentTextChar"/>
    <w:uiPriority w:val="99"/>
    <w:semiHidden/>
    <w:unhideWhenUsed/>
    <w:rsid w:val="00F24ED0"/>
    <w:rPr>
      <w:sz w:val="20"/>
      <w:szCs w:val="20"/>
    </w:rPr>
  </w:style>
  <w:style w:type="character" w:customStyle="1" w:styleId="CommentTextChar">
    <w:name w:val="Comment Text Char"/>
    <w:basedOn w:val="DefaultParagraphFont"/>
    <w:link w:val="CommentText"/>
    <w:uiPriority w:val="99"/>
    <w:semiHidden/>
    <w:rsid w:val="00F24ED0"/>
    <w:rPr>
      <w:sz w:val="20"/>
      <w:szCs w:val="20"/>
    </w:rPr>
  </w:style>
  <w:style w:type="paragraph" w:styleId="CommentSubject">
    <w:name w:val="annotation subject"/>
    <w:basedOn w:val="CommentText"/>
    <w:next w:val="CommentText"/>
    <w:link w:val="CommentSubjectChar"/>
    <w:uiPriority w:val="99"/>
    <w:semiHidden/>
    <w:unhideWhenUsed/>
    <w:rsid w:val="00F24ED0"/>
    <w:rPr>
      <w:b/>
      <w:bCs/>
    </w:rPr>
  </w:style>
  <w:style w:type="character" w:customStyle="1" w:styleId="CommentSubjectChar">
    <w:name w:val="Comment Subject Char"/>
    <w:basedOn w:val="CommentTextChar"/>
    <w:link w:val="CommentSubject"/>
    <w:uiPriority w:val="99"/>
    <w:semiHidden/>
    <w:rsid w:val="00F24ED0"/>
    <w:rPr>
      <w:b/>
      <w:bCs/>
      <w:sz w:val="20"/>
      <w:szCs w:val="20"/>
    </w:rPr>
  </w:style>
  <w:style w:type="paragraph" w:styleId="BalloonText">
    <w:name w:val="Balloon Text"/>
    <w:basedOn w:val="Normal"/>
    <w:link w:val="BalloonTextChar"/>
    <w:uiPriority w:val="99"/>
    <w:semiHidden/>
    <w:unhideWhenUsed/>
    <w:rsid w:val="00F24E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ED0"/>
    <w:rPr>
      <w:rFonts w:ascii="Segoe UI" w:hAnsi="Segoe UI" w:cs="Segoe UI"/>
      <w:sz w:val="18"/>
      <w:szCs w:val="18"/>
    </w:rPr>
  </w:style>
  <w:style w:type="table" w:styleId="TableGrid">
    <w:name w:val="Table Grid"/>
    <w:basedOn w:val="TableNormal"/>
    <w:uiPriority w:val="39"/>
    <w:rsid w:val="006F4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3F52"/>
    <w:pPr>
      <w:tabs>
        <w:tab w:val="center" w:pos="4680"/>
        <w:tab w:val="right" w:pos="9360"/>
      </w:tabs>
    </w:pPr>
  </w:style>
  <w:style w:type="character" w:customStyle="1" w:styleId="HeaderChar">
    <w:name w:val="Header Char"/>
    <w:basedOn w:val="DefaultParagraphFont"/>
    <w:link w:val="Header"/>
    <w:uiPriority w:val="99"/>
    <w:rsid w:val="00863F52"/>
  </w:style>
  <w:style w:type="paragraph" w:styleId="Footer">
    <w:name w:val="footer"/>
    <w:basedOn w:val="Normal"/>
    <w:link w:val="FooterChar"/>
    <w:uiPriority w:val="99"/>
    <w:unhideWhenUsed/>
    <w:rsid w:val="00863F52"/>
    <w:pPr>
      <w:tabs>
        <w:tab w:val="center" w:pos="4680"/>
        <w:tab w:val="right" w:pos="9360"/>
      </w:tabs>
    </w:pPr>
  </w:style>
  <w:style w:type="character" w:customStyle="1" w:styleId="FooterChar">
    <w:name w:val="Footer Char"/>
    <w:basedOn w:val="DefaultParagraphFont"/>
    <w:link w:val="Footer"/>
    <w:uiPriority w:val="99"/>
    <w:rsid w:val="00863F52"/>
  </w:style>
  <w:style w:type="character" w:customStyle="1" w:styleId="UnresolvedMention1">
    <w:name w:val="Unresolved Mention1"/>
    <w:basedOn w:val="DefaultParagraphFont"/>
    <w:uiPriority w:val="99"/>
    <w:rsid w:val="009D714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9130">
      <w:bodyDiv w:val="1"/>
      <w:marLeft w:val="0"/>
      <w:marRight w:val="0"/>
      <w:marTop w:val="0"/>
      <w:marBottom w:val="0"/>
      <w:divBdr>
        <w:top w:val="none" w:sz="0" w:space="0" w:color="auto"/>
        <w:left w:val="none" w:sz="0" w:space="0" w:color="auto"/>
        <w:bottom w:val="none" w:sz="0" w:space="0" w:color="auto"/>
        <w:right w:val="none" w:sz="0" w:space="0" w:color="auto"/>
      </w:divBdr>
    </w:div>
    <w:div w:id="1287200129">
      <w:bodyDiv w:val="1"/>
      <w:marLeft w:val="0"/>
      <w:marRight w:val="0"/>
      <w:marTop w:val="0"/>
      <w:marBottom w:val="0"/>
      <w:divBdr>
        <w:top w:val="none" w:sz="0" w:space="0" w:color="auto"/>
        <w:left w:val="none" w:sz="0" w:space="0" w:color="auto"/>
        <w:bottom w:val="none" w:sz="0" w:space="0" w:color="auto"/>
        <w:right w:val="none" w:sz="0" w:space="0" w:color="auto"/>
      </w:divBdr>
      <w:divsChild>
        <w:div w:id="51346466">
          <w:marLeft w:val="0"/>
          <w:marRight w:val="0"/>
          <w:marTop w:val="0"/>
          <w:marBottom w:val="0"/>
          <w:divBdr>
            <w:top w:val="none" w:sz="0" w:space="0" w:color="auto"/>
            <w:left w:val="none" w:sz="0" w:space="0" w:color="auto"/>
            <w:bottom w:val="none" w:sz="0" w:space="0" w:color="auto"/>
            <w:right w:val="none" w:sz="0" w:space="0" w:color="auto"/>
          </w:divBdr>
        </w:div>
        <w:div w:id="13282466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wopa.org/wop-congress/"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gwopa.org/wop-congres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wopa.org/wop-congres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gwopa.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gwo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VLRHH9MqZlHs6h4PMHLTVYBAZ3w==">AMUW2mVYEkiFCwSExqo2rHIoEhCu/ua3yErkiDWjjZb0rWnW+VYBjA1oq24pHwuwAo0WxGdLjemMZ95FKjYksGUcWfKfu2MlbChVqG6p1QCwv1q8yKtGrFbYIi4pGf7Md0PHKHMc7UNw</go:docsCustomData>
</go:gDocsCustomXmlDataStorage>
</file>

<file path=customXml/itemProps1.xml><?xml version="1.0" encoding="utf-8"?>
<ds:datastoreItem xmlns:ds="http://schemas.openxmlformats.org/officeDocument/2006/customXml" ds:itemID="{37D12346-EB75-4549-B330-221BDA1BDE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955</Words>
  <Characters>5450</Characters>
  <Application>Microsoft Office Word</Application>
  <DocSecurity>0</DocSecurity>
  <Lines>45</Lines>
  <Paragraphs>12</Paragraphs>
  <ScaleCrop>false</ScaleCrop>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dcterms:created xsi:type="dcterms:W3CDTF">2021-09-14T15:47:00Z</dcterms:created>
  <dcterms:modified xsi:type="dcterms:W3CDTF">2021-09-27T14:35:00Z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0x010100A16FF764FACB8E489D80FD74544D3869</vt:lpwstr>
  </property>
</Properties>
</file>